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D9B2" w14:textId="77777777" w:rsidR="002173A9" w:rsidRDefault="002173A9" w:rsidP="002173A9">
      <w:pPr>
        <w:spacing w:after="360"/>
        <w:rPr>
          <w:rFonts w:ascii="Cambria" w:hAnsi="Cambria" w:cs="Times New Roman"/>
          <w:color w:val="000000"/>
        </w:rPr>
      </w:pPr>
    </w:p>
    <w:p w14:paraId="2CC46C23" w14:textId="77777777" w:rsidR="000D1396" w:rsidRPr="00CA27F8" w:rsidRDefault="002173A9" w:rsidP="002173A9">
      <w:pPr>
        <w:spacing w:after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</w:t>
      </w:r>
      <w:r w:rsidR="00CA27F8">
        <w:rPr>
          <w:rFonts w:ascii="Cambria" w:hAnsi="Cambria" w:cs="Times New Roman"/>
          <w:color w:val="000000"/>
        </w:rPr>
        <w:t>tudent</w:t>
      </w:r>
      <w:r>
        <w:rPr>
          <w:rFonts w:ascii="Cambria" w:hAnsi="Cambria" w:cs="Times New Roman"/>
          <w:color w:val="000000"/>
        </w:rPr>
        <w:t>s</w:t>
      </w:r>
      <w:r w:rsidR="00CA27F8">
        <w:rPr>
          <w:rFonts w:ascii="Cambria" w:hAnsi="Cambria" w:cs="Times New Roman"/>
          <w:color w:val="000000"/>
        </w:rPr>
        <w:t xml:space="preserve"> interested in double concentrating should consult with both </w:t>
      </w:r>
      <w:r>
        <w:rPr>
          <w:rFonts w:ascii="Cambria" w:hAnsi="Cambria" w:cs="Times New Roman"/>
          <w:color w:val="000000"/>
        </w:rPr>
        <w:t>fields</w:t>
      </w:r>
      <w:r w:rsidR="00CA27F8">
        <w:rPr>
          <w:rFonts w:ascii="Cambria" w:hAnsi="Cambria" w:cs="Times New Roman"/>
          <w:color w:val="000000"/>
        </w:rPr>
        <w:t xml:space="preserve"> about relevant policies. </w:t>
      </w:r>
      <w:r w:rsidR="00BC529D" w:rsidRPr="00CA27F8">
        <w:rPr>
          <w:rFonts w:ascii="Cambria" w:hAnsi="Cambria" w:cs="Times New Roman"/>
          <w:color w:val="000000"/>
        </w:rPr>
        <w:t>Many concentrations limit the number of courses that can be counted toward multiple concentrations</w:t>
      </w:r>
      <w:r w:rsidR="00CA27F8">
        <w:rPr>
          <w:rFonts w:ascii="Cambria" w:hAnsi="Cambria" w:cs="Times New Roman"/>
          <w:color w:val="000000"/>
        </w:rPr>
        <w:t xml:space="preserve">. The Dean of the College office and the College Curriculum Council suggest a maximum of two courses. </w:t>
      </w:r>
      <w:r w:rsidR="00CA27F8" w:rsidRPr="00CA27F8">
        <w:rPr>
          <w:rFonts w:ascii="Cambria" w:hAnsi="Cambria" w:cs="Times New Roman"/>
          <w:color w:val="000000"/>
        </w:rPr>
        <w:t>ASK, the student declaration system, will notify a student and both advisors if more than two courses in the course plan are being counted toward multiple concentrations.</w:t>
      </w:r>
    </w:p>
    <w:p w14:paraId="067558E7" w14:textId="77777777" w:rsidR="002173A9" w:rsidRDefault="002173A9" w:rsidP="002173A9">
      <w:pPr>
        <w:rPr>
          <w:rFonts w:ascii="Cambria" w:hAnsi="Cambria"/>
        </w:rPr>
      </w:pPr>
      <w:r>
        <w:rPr>
          <w:rFonts w:ascii="Cambria" w:hAnsi="Cambria"/>
        </w:rPr>
        <w:t xml:space="preserve">ASK does not flag many introductory-level courses that are pre-requisites for a number of concentrations. Those courses that are </w:t>
      </w:r>
      <w:r w:rsidRPr="002173A9">
        <w:rPr>
          <w:rFonts w:ascii="Cambria" w:hAnsi="Cambria"/>
          <w:b/>
        </w:rPr>
        <w:t>exceptions</w:t>
      </w:r>
      <w:r>
        <w:rPr>
          <w:rFonts w:ascii="Cambria" w:hAnsi="Cambria"/>
        </w:rPr>
        <w:t xml:space="preserve"> to ASK’s “two course overlap” caution </w:t>
      </w:r>
      <w:proofErr w:type="gramStart"/>
      <w:r>
        <w:rPr>
          <w:rFonts w:ascii="Cambria" w:hAnsi="Cambria"/>
        </w:rPr>
        <w:t>are</w:t>
      </w:r>
      <w:proofErr w:type="gramEnd"/>
      <w:r>
        <w:rPr>
          <w:rFonts w:ascii="Cambria" w:hAnsi="Cambria"/>
        </w:rPr>
        <w:t xml:space="preserve"> listed below.</w:t>
      </w:r>
    </w:p>
    <w:p w14:paraId="5EE055C1" w14:textId="77777777" w:rsidR="00CA27F8" w:rsidRPr="00CA27F8" w:rsidRDefault="00CA27F8">
      <w:pPr>
        <w:rPr>
          <w:rFonts w:ascii="Cambria" w:hAnsi="Cambria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788"/>
        <w:gridCol w:w="2307"/>
        <w:gridCol w:w="1923"/>
      </w:tblGrid>
      <w:tr w:rsidR="002173A9" w:rsidRPr="00CA27F8" w14:paraId="6FC2AD09" w14:textId="77777777" w:rsidTr="002173A9">
        <w:trPr>
          <w:trHeight w:val="269"/>
        </w:trPr>
        <w:tc>
          <w:tcPr>
            <w:tcW w:w="4788" w:type="dxa"/>
          </w:tcPr>
          <w:p w14:paraId="5F46C406" w14:textId="77777777" w:rsidR="002173A9" w:rsidRPr="00CA27F8" w:rsidRDefault="002173A9" w:rsidP="00F83CF6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Course Title</w:t>
            </w:r>
          </w:p>
        </w:tc>
        <w:tc>
          <w:tcPr>
            <w:tcW w:w="2307" w:type="dxa"/>
          </w:tcPr>
          <w:p w14:paraId="38DAFE23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b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b/>
                <w:color w:val="333333"/>
                <w:sz w:val="22"/>
                <w:szCs w:val="22"/>
              </w:rPr>
              <w:t>Subject</w:t>
            </w:r>
          </w:p>
        </w:tc>
        <w:tc>
          <w:tcPr>
            <w:tcW w:w="1923" w:type="dxa"/>
          </w:tcPr>
          <w:p w14:paraId="44544408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b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b/>
                <w:color w:val="333333"/>
                <w:sz w:val="22"/>
                <w:szCs w:val="22"/>
              </w:rPr>
              <w:t>Course Number</w:t>
            </w:r>
          </w:p>
        </w:tc>
      </w:tr>
      <w:tr w:rsidR="002173A9" w:rsidRPr="00CA27F8" w14:paraId="3849AB7A" w14:textId="77777777" w:rsidTr="002173A9">
        <w:trPr>
          <w:trHeight w:val="269"/>
        </w:trPr>
        <w:tc>
          <w:tcPr>
            <w:tcW w:w="4788" w:type="dxa"/>
          </w:tcPr>
          <w:p w14:paraId="1A753313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Introductory through advanced Arabic</w:t>
            </w:r>
          </w:p>
        </w:tc>
        <w:tc>
          <w:tcPr>
            <w:tcW w:w="2307" w:type="dxa"/>
          </w:tcPr>
          <w:p w14:paraId="1D351CAC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ARAB</w:t>
            </w:r>
          </w:p>
        </w:tc>
        <w:tc>
          <w:tcPr>
            <w:tcW w:w="1923" w:type="dxa"/>
          </w:tcPr>
          <w:p w14:paraId="1999B1E0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0100 - 0800</w:t>
            </w:r>
          </w:p>
        </w:tc>
      </w:tr>
      <w:tr w:rsidR="002173A9" w:rsidRPr="00CA27F8" w14:paraId="2135AFBE" w14:textId="77777777" w:rsidTr="002173A9">
        <w:tc>
          <w:tcPr>
            <w:tcW w:w="4788" w:type="dxa"/>
          </w:tcPr>
          <w:p w14:paraId="7D443DA2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 xml:space="preserve">Introductory and intermediate </w:t>
            </w: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Akkadian</w:t>
            </w:r>
          </w:p>
        </w:tc>
        <w:tc>
          <w:tcPr>
            <w:tcW w:w="2307" w:type="dxa"/>
          </w:tcPr>
          <w:p w14:paraId="3DFD79A5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 xml:space="preserve"> </w:t>
            </w: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ASYR</w:t>
            </w:r>
          </w:p>
        </w:tc>
        <w:tc>
          <w:tcPr>
            <w:tcW w:w="1923" w:type="dxa"/>
          </w:tcPr>
          <w:p w14:paraId="40308A48" w14:textId="77777777" w:rsidR="002173A9" w:rsidRPr="00CA27F8" w:rsidRDefault="002173A9" w:rsidP="000D1396">
            <w:pPr>
              <w:spacing w:before="150" w:after="225"/>
              <w:ind w:left="720" w:hanging="720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0200 - 0210</w:t>
            </w:r>
          </w:p>
        </w:tc>
      </w:tr>
      <w:tr w:rsidR="002173A9" w:rsidRPr="00CA27F8" w14:paraId="56AAB04A" w14:textId="77777777" w:rsidTr="002173A9">
        <w:tc>
          <w:tcPr>
            <w:tcW w:w="4788" w:type="dxa"/>
          </w:tcPr>
          <w:p w14:paraId="23A3DFB8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Foundation of Living Systems</w:t>
            </w:r>
          </w:p>
        </w:tc>
        <w:tc>
          <w:tcPr>
            <w:tcW w:w="2307" w:type="dxa"/>
          </w:tcPr>
          <w:p w14:paraId="60CA6B8F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BIOL</w:t>
            </w:r>
          </w:p>
        </w:tc>
        <w:tc>
          <w:tcPr>
            <w:tcW w:w="1923" w:type="dxa"/>
          </w:tcPr>
          <w:p w14:paraId="508D455C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0200</w:t>
            </w:r>
          </w:p>
        </w:tc>
      </w:tr>
      <w:tr w:rsidR="002173A9" w:rsidRPr="00CA27F8" w14:paraId="22CBD7D8" w14:textId="77777777" w:rsidTr="002173A9">
        <w:tc>
          <w:tcPr>
            <w:tcW w:w="4788" w:type="dxa"/>
          </w:tcPr>
          <w:p w14:paraId="6D39E6DD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Foundational chemistry courses</w:t>
            </w:r>
          </w:p>
        </w:tc>
        <w:tc>
          <w:tcPr>
            <w:tcW w:w="2307" w:type="dxa"/>
          </w:tcPr>
          <w:p w14:paraId="615AA046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CHEM</w:t>
            </w:r>
          </w:p>
        </w:tc>
        <w:tc>
          <w:tcPr>
            <w:tcW w:w="1923" w:type="dxa"/>
          </w:tcPr>
          <w:p w14:paraId="6CC37E29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0330, 0350</w:t>
            </w:r>
          </w:p>
        </w:tc>
      </w:tr>
      <w:tr w:rsidR="002173A9" w:rsidRPr="00CA27F8" w14:paraId="3B26C325" w14:textId="77777777" w:rsidTr="002173A9">
        <w:tc>
          <w:tcPr>
            <w:tcW w:w="4788" w:type="dxa"/>
          </w:tcPr>
          <w:p w14:paraId="01243125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Beginning, intermediate, and advanced </w:t>
            </w: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Chinese, French, Spanish</w:t>
            </w: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 xml:space="preserve">, Italian, Japanese, Korean, Modern Greek, </w:t>
            </w: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 xml:space="preserve">and </w:t>
            </w: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Russian</w:t>
            </w:r>
          </w:p>
        </w:tc>
        <w:tc>
          <w:tcPr>
            <w:tcW w:w="2307" w:type="dxa"/>
          </w:tcPr>
          <w:p w14:paraId="647E0A57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CHIN, FREN, HISP, ITAL, JAPN, KREA, MGRK, RUSS</w:t>
            </w:r>
          </w:p>
        </w:tc>
        <w:tc>
          <w:tcPr>
            <w:tcW w:w="1923" w:type="dxa"/>
          </w:tcPr>
          <w:p w14:paraId="525FAAC2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0100 - 0600</w:t>
            </w:r>
          </w:p>
        </w:tc>
      </w:tr>
      <w:tr w:rsidR="002173A9" w:rsidRPr="00CA27F8" w14:paraId="334979FC" w14:textId="77777777" w:rsidTr="002173A9">
        <w:tc>
          <w:tcPr>
            <w:tcW w:w="4788" w:type="dxa"/>
          </w:tcPr>
          <w:p w14:paraId="59194725" w14:textId="77777777" w:rsidR="002173A9" w:rsidRPr="00CA27F8" w:rsidRDefault="002173A9" w:rsidP="002173A9">
            <w:pPr>
              <w:spacing w:before="150" w:after="225" w:line="360" w:lineRule="auto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 xml:space="preserve">Beginning, intermediate, and advanced </w:t>
            </w: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Haitian Creole, Latin, German, Greek, Persian</w:t>
            </w:r>
          </w:p>
        </w:tc>
        <w:tc>
          <w:tcPr>
            <w:tcW w:w="2307" w:type="dxa"/>
          </w:tcPr>
          <w:p w14:paraId="39CB3514" w14:textId="77777777" w:rsidR="002173A9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 xml:space="preserve">CROL, LATN, GRMN, </w:t>
            </w:r>
          </w:p>
          <w:p w14:paraId="43C0038D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GREK, PRSN</w:t>
            </w:r>
          </w:p>
        </w:tc>
        <w:tc>
          <w:tcPr>
            <w:tcW w:w="1923" w:type="dxa"/>
          </w:tcPr>
          <w:p w14:paraId="38551669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0100 - 0400</w:t>
            </w:r>
          </w:p>
        </w:tc>
      </w:tr>
      <w:tr w:rsidR="002173A9" w:rsidRPr="00CA27F8" w14:paraId="3B6C9664" w14:textId="77777777" w:rsidTr="002173A9">
        <w:tc>
          <w:tcPr>
            <w:tcW w:w="4788" w:type="dxa"/>
          </w:tcPr>
          <w:p w14:paraId="24D98919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Introductory Czech</w:t>
            </w:r>
          </w:p>
        </w:tc>
        <w:tc>
          <w:tcPr>
            <w:tcW w:w="2307" w:type="dxa"/>
          </w:tcPr>
          <w:p w14:paraId="486D41AC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CZCH</w:t>
            </w:r>
          </w:p>
        </w:tc>
        <w:tc>
          <w:tcPr>
            <w:tcW w:w="1923" w:type="dxa"/>
          </w:tcPr>
          <w:p w14:paraId="227D492A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0100 - 0200</w:t>
            </w:r>
          </w:p>
        </w:tc>
      </w:tr>
      <w:tr w:rsidR="002173A9" w:rsidRPr="00CA27F8" w14:paraId="34DDFA10" w14:textId="77777777" w:rsidTr="002173A9">
        <w:tc>
          <w:tcPr>
            <w:tcW w:w="4788" w:type="dxa"/>
          </w:tcPr>
          <w:p w14:paraId="4FD254C4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Principles of economics</w:t>
            </w:r>
          </w:p>
        </w:tc>
        <w:tc>
          <w:tcPr>
            <w:tcW w:w="2307" w:type="dxa"/>
          </w:tcPr>
          <w:p w14:paraId="530AC642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ECON</w:t>
            </w:r>
          </w:p>
        </w:tc>
        <w:tc>
          <w:tcPr>
            <w:tcW w:w="1923" w:type="dxa"/>
          </w:tcPr>
          <w:p w14:paraId="5F64B0C2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0110</w:t>
            </w:r>
          </w:p>
        </w:tc>
      </w:tr>
      <w:tr w:rsidR="002173A9" w:rsidRPr="00CA27F8" w14:paraId="1F27C152" w14:textId="77777777" w:rsidTr="002173A9">
        <w:tc>
          <w:tcPr>
            <w:tcW w:w="4788" w:type="dxa"/>
          </w:tcPr>
          <w:p w14:paraId="42CF0DC1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Classical Egyptian</w:t>
            </w:r>
          </w:p>
        </w:tc>
        <w:tc>
          <w:tcPr>
            <w:tcW w:w="2307" w:type="dxa"/>
          </w:tcPr>
          <w:p w14:paraId="1C4F8C11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EGYT</w:t>
            </w:r>
          </w:p>
        </w:tc>
        <w:tc>
          <w:tcPr>
            <w:tcW w:w="1923" w:type="dxa"/>
          </w:tcPr>
          <w:p w14:paraId="32BD31AE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1310, 1320</w:t>
            </w:r>
          </w:p>
        </w:tc>
      </w:tr>
      <w:tr w:rsidR="002173A9" w:rsidRPr="00CA27F8" w14:paraId="0EB0092F" w14:textId="77777777" w:rsidTr="002173A9">
        <w:tc>
          <w:tcPr>
            <w:tcW w:w="4788" w:type="dxa"/>
          </w:tcPr>
          <w:p w14:paraId="533029D9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Beginning, intermediate, advanced Hind-Urdu</w:t>
            </w:r>
          </w:p>
        </w:tc>
        <w:tc>
          <w:tcPr>
            <w:tcW w:w="2307" w:type="dxa"/>
          </w:tcPr>
          <w:p w14:paraId="79C25979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HNDI</w:t>
            </w:r>
          </w:p>
        </w:tc>
        <w:tc>
          <w:tcPr>
            <w:tcW w:w="1923" w:type="dxa"/>
          </w:tcPr>
          <w:p w14:paraId="2FEF6986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0100 - 0400, 1080</w:t>
            </w:r>
          </w:p>
        </w:tc>
      </w:tr>
      <w:tr w:rsidR="002173A9" w:rsidRPr="00CA27F8" w14:paraId="0E5AA85D" w14:textId="77777777" w:rsidTr="002173A9">
        <w:tc>
          <w:tcPr>
            <w:tcW w:w="4788" w:type="dxa"/>
          </w:tcPr>
          <w:p w14:paraId="125CF8D7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Elementary and intermediate Hebrew</w:t>
            </w:r>
          </w:p>
        </w:tc>
        <w:tc>
          <w:tcPr>
            <w:tcW w:w="2307" w:type="dxa"/>
          </w:tcPr>
          <w:p w14:paraId="13C2FC64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JUDS</w:t>
            </w:r>
          </w:p>
        </w:tc>
        <w:tc>
          <w:tcPr>
            <w:tcW w:w="1923" w:type="dxa"/>
          </w:tcPr>
          <w:p w14:paraId="3A594937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0100 - 0500</w:t>
            </w:r>
          </w:p>
        </w:tc>
      </w:tr>
      <w:tr w:rsidR="002173A9" w:rsidRPr="00CA27F8" w14:paraId="7D68631D" w14:textId="77777777" w:rsidTr="002173A9">
        <w:tc>
          <w:tcPr>
            <w:tcW w:w="4788" w:type="dxa"/>
          </w:tcPr>
          <w:p w14:paraId="46F9A20B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Introductory &amp; Advanced Placement Calculus</w:t>
            </w:r>
          </w:p>
        </w:tc>
        <w:tc>
          <w:tcPr>
            <w:tcW w:w="2307" w:type="dxa"/>
          </w:tcPr>
          <w:p w14:paraId="71CA6AEB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MATH</w:t>
            </w:r>
          </w:p>
        </w:tc>
        <w:tc>
          <w:tcPr>
            <w:tcW w:w="1923" w:type="dxa"/>
          </w:tcPr>
          <w:p w14:paraId="7D749AED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0090, 0100, 0170, 0190</w:t>
            </w:r>
          </w:p>
        </w:tc>
      </w:tr>
      <w:tr w:rsidR="002173A9" w:rsidRPr="00CA27F8" w14:paraId="03113A32" w14:textId="77777777" w:rsidTr="002173A9">
        <w:tc>
          <w:tcPr>
            <w:tcW w:w="4788" w:type="dxa"/>
          </w:tcPr>
          <w:p w14:paraId="28AF5AD4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Basic physics</w:t>
            </w:r>
          </w:p>
        </w:tc>
        <w:tc>
          <w:tcPr>
            <w:tcW w:w="2307" w:type="dxa"/>
          </w:tcPr>
          <w:p w14:paraId="6A3C4444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PHYS</w:t>
            </w:r>
          </w:p>
        </w:tc>
        <w:tc>
          <w:tcPr>
            <w:tcW w:w="1923" w:type="dxa"/>
          </w:tcPr>
          <w:p w14:paraId="2513C8F6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0030 - 0040</w:t>
            </w:r>
          </w:p>
        </w:tc>
      </w:tr>
      <w:tr w:rsidR="002173A9" w:rsidRPr="00CA27F8" w14:paraId="51043BFB" w14:textId="77777777" w:rsidTr="002173A9">
        <w:tc>
          <w:tcPr>
            <w:tcW w:w="4788" w:type="dxa"/>
          </w:tcPr>
          <w:p w14:paraId="46F245D0" w14:textId="77777777" w:rsidR="002173A9" w:rsidRPr="00CA27F8" w:rsidRDefault="002173A9" w:rsidP="002173A9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Elementary and advanced Portuguese</w:t>
            </w:r>
          </w:p>
        </w:tc>
        <w:tc>
          <w:tcPr>
            <w:tcW w:w="2307" w:type="dxa"/>
          </w:tcPr>
          <w:p w14:paraId="576D1880" w14:textId="77777777" w:rsidR="002173A9" w:rsidRPr="00CA27F8" w:rsidRDefault="002173A9" w:rsidP="00CA27F8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POBS</w:t>
            </w:r>
          </w:p>
        </w:tc>
        <w:tc>
          <w:tcPr>
            <w:tcW w:w="1923" w:type="dxa"/>
          </w:tcPr>
          <w:p w14:paraId="0F51D27A" w14:textId="77777777" w:rsidR="002173A9" w:rsidRPr="00CA27F8" w:rsidRDefault="002173A9" w:rsidP="00CE387F">
            <w:pPr>
              <w:spacing w:before="150" w:after="225"/>
              <w:contextualSpacing/>
              <w:rPr>
                <w:rFonts w:ascii="Cambria" w:eastAsia="Times New Roman" w:hAnsi="Cambria" w:cs="Arial"/>
                <w:color w:val="333333"/>
                <w:sz w:val="22"/>
                <w:szCs w:val="22"/>
              </w:rPr>
            </w:pPr>
            <w:r w:rsidRPr="00CA27F8">
              <w:rPr>
                <w:rFonts w:ascii="Cambria" w:eastAsia="Times New Roman" w:hAnsi="Cambria" w:cs="Arial"/>
                <w:color w:val="333333"/>
                <w:sz w:val="22"/>
                <w:szCs w:val="22"/>
              </w:rPr>
              <w:t>0100 – 0620, 1030</w:t>
            </w:r>
          </w:p>
        </w:tc>
      </w:tr>
    </w:tbl>
    <w:p w14:paraId="2A7DE5B9" w14:textId="77777777" w:rsidR="00CE387F" w:rsidRDefault="00CE387F" w:rsidP="002173A9">
      <w:bookmarkStart w:id="0" w:name="_GoBack"/>
      <w:bookmarkEnd w:id="0"/>
    </w:p>
    <w:sectPr w:rsidR="00CE387F" w:rsidSect="00042E1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BB6C" w14:textId="77777777" w:rsidR="00033ED2" w:rsidRDefault="00033ED2" w:rsidP="00CE387F">
      <w:r>
        <w:separator/>
      </w:r>
    </w:p>
  </w:endnote>
  <w:endnote w:type="continuationSeparator" w:id="0">
    <w:p w14:paraId="6E5F77F8" w14:textId="77777777" w:rsidR="00033ED2" w:rsidRDefault="00033ED2" w:rsidP="00CE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312E" w14:textId="77777777" w:rsidR="00C43490" w:rsidRPr="00C43490" w:rsidRDefault="00C43490">
    <w:pPr>
      <w:pStyle w:val="Footer"/>
      <w:rPr>
        <w:i/>
        <w:sz w:val="16"/>
        <w:szCs w:val="16"/>
      </w:rPr>
    </w:pPr>
    <w:r w:rsidRPr="00C43490">
      <w:rPr>
        <w:i/>
        <w:sz w:val="16"/>
        <w:szCs w:val="16"/>
      </w:rPr>
      <w:t xml:space="preserve">Dean of the College office </w:t>
    </w:r>
    <w:r w:rsidRPr="00C43490">
      <w:rPr>
        <w:i/>
        <w:sz w:val="16"/>
        <w:szCs w:val="16"/>
      </w:rPr>
      <w:br/>
      <w:t>September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9340" w14:textId="77777777" w:rsidR="00033ED2" w:rsidRDefault="00033ED2" w:rsidP="00CE387F">
      <w:r>
        <w:separator/>
      </w:r>
    </w:p>
  </w:footnote>
  <w:footnote w:type="continuationSeparator" w:id="0">
    <w:p w14:paraId="200D06A2" w14:textId="77777777" w:rsidR="00033ED2" w:rsidRDefault="00033ED2" w:rsidP="00CE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03C7" w14:textId="77777777" w:rsidR="005C02CA" w:rsidRDefault="005C02CA" w:rsidP="00CE387F">
    <w:pPr>
      <w:pStyle w:val="Header"/>
      <w:jc w:val="center"/>
    </w:pPr>
    <w:r>
      <w:rPr>
        <w:noProof/>
        <w:sz w:val="18"/>
      </w:rPr>
      <w:drawing>
        <wp:inline distT="0" distB="0" distL="0" distR="0" wp14:anchorId="50EF1373" wp14:editId="7EC9FDD0">
          <wp:extent cx="808567" cy="937938"/>
          <wp:effectExtent l="0" t="0" r="4445" b="1905"/>
          <wp:docPr id="1" name="Picture 1" descr="V_2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_2c_P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67" cy="937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63D126" w14:textId="77777777" w:rsidR="005C02CA" w:rsidRDefault="005C02CA" w:rsidP="00CE387F">
    <w:pPr>
      <w:pStyle w:val="Header"/>
      <w:jc w:val="center"/>
    </w:pPr>
  </w:p>
  <w:p w14:paraId="6C5B48D6" w14:textId="77777777" w:rsidR="002173A9" w:rsidRPr="002173A9" w:rsidRDefault="002173A9" w:rsidP="00CE387F">
    <w:pPr>
      <w:pStyle w:val="Header"/>
      <w:jc w:val="center"/>
      <w:rPr>
        <w:b/>
      </w:rPr>
    </w:pPr>
    <w:r w:rsidRPr="002173A9">
      <w:rPr>
        <w:b/>
      </w:rPr>
      <w:t>ASK Two-Course Overlap Exceptions for Double Concentrators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7F"/>
    <w:rsid w:val="00033ED2"/>
    <w:rsid w:val="00042E1F"/>
    <w:rsid w:val="000D1396"/>
    <w:rsid w:val="00141197"/>
    <w:rsid w:val="002173A9"/>
    <w:rsid w:val="00276333"/>
    <w:rsid w:val="00372803"/>
    <w:rsid w:val="005C02CA"/>
    <w:rsid w:val="00BC529D"/>
    <w:rsid w:val="00C43490"/>
    <w:rsid w:val="00CA27F8"/>
    <w:rsid w:val="00CC56B4"/>
    <w:rsid w:val="00C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52953"/>
  <w14:defaultImageDpi w14:val="300"/>
  <w15:docId w15:val="{81E7A680-9188-DA47-804B-0DF0B2BC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7F"/>
  </w:style>
  <w:style w:type="paragraph" w:styleId="Footer">
    <w:name w:val="footer"/>
    <w:basedOn w:val="Normal"/>
    <w:link w:val="FooterChar"/>
    <w:uiPriority w:val="99"/>
    <w:unhideWhenUsed/>
    <w:rsid w:val="00CE3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7F"/>
  </w:style>
  <w:style w:type="paragraph" w:styleId="BalloonText">
    <w:name w:val="Balloon Text"/>
    <w:basedOn w:val="Normal"/>
    <w:link w:val="BalloonTextChar"/>
    <w:uiPriority w:val="99"/>
    <w:semiHidden/>
    <w:unhideWhenUsed/>
    <w:rsid w:val="00CE3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52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Brown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Besenia Rodriguez</dc:creator>
  <cp:keywords/>
  <dc:description/>
  <cp:lastModifiedBy>B. Rodriguez</cp:lastModifiedBy>
  <cp:revision>2</cp:revision>
  <dcterms:created xsi:type="dcterms:W3CDTF">2019-11-14T17:11:00Z</dcterms:created>
  <dcterms:modified xsi:type="dcterms:W3CDTF">2019-11-14T17:11:00Z</dcterms:modified>
</cp:coreProperties>
</file>